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GAYRİMENKUL SUNUM VE ANALİZ DOSYASI</w:t>
      </w:r>
    </w:p>
    <w:p>
      <w:r>
        <w:rPr>
          <w:i/>
          <w:color w:val="5F6B77"/>
        </w:rPr>
        <w:t>Potansiyel alıcıya yönelik • INB Real Estate tarafından hazırlanır • TEMSİLİ ÖRNEK DOSYA</w:t>
      </w:r>
    </w:p>
    <w:p>
      <w:r>
        <w:rPr>
          <w:b/>
          <w:color w:val="AE873E"/>
        </w:rPr>
        <w:t>PORTFÖY KODU: INB-CSM-035     |     SUNUM TARİHİ: 21.10.2026     |     GÜNCELLEME: 21.10.2026</w:t>
      </w:r>
    </w:p>
    <w:p>
      <w:pPr>
        <w:pStyle w:val="Heading1"/>
      </w:pPr>
      <w:r>
        <w:t>İZMİR ÇEŞME ALAÇATI MAHALLESİ’NDE CADDE ÜZERİ PRESTİJ DÜKKÂN</w:t>
      </w:r>
    </w:p>
    <w:p>
      <w:r>
        <w:t>İzmir Çeşme Alaçatı Mahallesi’nde, yaya ve araç görünürlüğü güçlü bir ticari aks üzerinde konumlanan bu dükkân; markalı perakende, butik mağaza, premium showroom veya seçilmiş yeme-içme konseptleri için dikkat çekici bir fırsat sunmaktadır. Gayrimenkul, konumu ve cephe etkisiyle yalnızca bir işyeri değil; doğru kurgulandığında güçlü bir marka vitrini olma potansiyeli taşımaktadır.</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Konum</w:t>
            </w:r>
          </w:p>
        </w:tc>
        <w:tc>
          <w:tcPr>
            <w:tcW w:type="dxa" w:w="6264"/>
          </w:tcPr>
          <w:p>
            <w:pPr>
              <w:spacing w:after="40"/>
            </w:pPr>
            <w:r>
              <w:t>İzmir / Çeşme / Alaçatı Mahallesi</w:t>
            </w:r>
          </w:p>
        </w:tc>
      </w:tr>
      <w:tr>
        <w:tc>
          <w:tcPr>
            <w:tcW w:type="dxa" w:w="3427"/>
            <w:vAlign w:val="center"/>
          </w:tcPr>
          <w:p>
            <w:pPr>
              <w:spacing w:after="40"/>
            </w:pPr>
            <w:r>
              <w:rPr>
                <w:b/>
                <w:color w:val="123054"/>
              </w:rPr>
              <w:t>Tür / işlem</w:t>
            </w:r>
          </w:p>
        </w:tc>
        <w:tc>
          <w:tcPr>
            <w:tcW w:type="dxa" w:w="6264"/>
          </w:tcPr>
          <w:p>
            <w:pPr>
              <w:spacing w:after="40"/>
            </w:pPr>
            <w:r>
              <w:t>Ticari bağımsız bölüm (dükkân)  •  Satılık</w:t>
            </w:r>
          </w:p>
        </w:tc>
      </w:tr>
      <w:tr>
        <w:tc>
          <w:tcPr>
            <w:tcW w:type="dxa" w:w="3427"/>
            <w:vAlign w:val="center"/>
          </w:tcPr>
          <w:p>
            <w:pPr>
              <w:spacing w:after="40"/>
            </w:pPr>
            <w:r>
              <w:rPr>
                <w:b/>
                <w:color w:val="123054"/>
              </w:rPr>
              <w:t>Alan</w:t>
            </w:r>
          </w:p>
        </w:tc>
        <w:tc>
          <w:tcPr>
            <w:tcW w:type="dxa" w:w="6264"/>
          </w:tcPr>
          <w:p>
            <w:pPr>
              <w:spacing w:after="40"/>
            </w:pPr>
            <w:r>
              <w:t>Yaklaşık 150 m² net  •  185 m² brüt</w:t>
            </w:r>
          </w:p>
        </w:tc>
      </w:tr>
      <w:tr>
        <w:tc>
          <w:tcPr>
            <w:tcW w:type="dxa" w:w="3427"/>
            <w:vAlign w:val="center"/>
          </w:tcPr>
          <w:p>
            <w:pPr>
              <w:spacing w:after="40"/>
            </w:pPr>
            <w:r>
              <w:rPr>
                <w:b/>
                <w:color w:val="123054"/>
              </w:rPr>
              <w:t>Talep edilen bedel</w:t>
            </w:r>
          </w:p>
        </w:tc>
        <w:tc>
          <w:tcPr>
            <w:tcW w:type="dxa" w:w="6264"/>
          </w:tcPr>
          <w:p>
            <w:pPr>
              <w:spacing w:after="40"/>
            </w:pPr>
            <w:r>
              <w:t>35.000.000 TL</w:t>
            </w:r>
          </w:p>
        </w:tc>
      </w:tr>
      <w:tr>
        <w:tc>
          <w:tcPr>
            <w:tcW w:type="dxa" w:w="3427"/>
            <w:vAlign w:val="center"/>
          </w:tcPr>
          <w:p>
            <w:pPr>
              <w:spacing w:after="40"/>
            </w:pPr>
            <w:r>
              <w:rPr>
                <w:b/>
                <w:color w:val="123054"/>
              </w:rPr>
              <w:t>İletişim</w:t>
            </w:r>
          </w:p>
        </w:tc>
        <w:tc>
          <w:tcPr>
            <w:tcW w:type="dxa" w:w="6264"/>
          </w:tcPr>
          <w:p>
            <w:pPr>
              <w:spacing w:after="40"/>
            </w:pPr>
            <w:r>
              <w:t>INB Real Estate • Yetkili Danışman • [Telefon bilgisi eklenecek]</w:t>
            </w:r>
          </w:p>
        </w:tc>
      </w:tr>
    </w:tbl>
    <w:p>
      <w:r>
        <w:t>GÖRSEL ALANI — Buraya taşınmazın gerçek, onaylı kapak fotoğrafı, iç mekân görselleri, plan ve konum görselleri eklenir. (Bu temsili örnek dosyada metinsel gösterim tercih edilmiştir.)</w:t>
      </w:r>
    </w:p>
    <w:p>
      <w:pPr>
        <w:pStyle w:val="Heading1"/>
      </w:pPr>
      <w:r>
        <w:t>01  |  Genel Bakış ve Öne Çıkanlar</w:t>
      </w:r>
    </w:p>
    <w:p>
      <w:r>
        <w:t>• Alaçatı Mahallesi’nde ticari hareketliliğin yoğun olduğu bölgede konum</w:t>
        <w:br/>
        <w:t>• Yaklaşık 150 m² net, 185 m² brüt kullanım alanı</w:t>
        <w:br/>
        <w:t>• Geniş vitrin cephesi ve görünürlüğü yüksek cadde bağlantısı</w:t>
        <w:br/>
        <w:t>• Zemin kullanımına ek olarak depo / hazırlık alanı imkânı</w:t>
        <w:br/>
        <w:t>• Hem kullanıcı hem yatırımcı için değerlendirilebilir ticari potansiyel</w:t>
      </w:r>
    </w:p>
    <w:p>
      <w:r>
        <w:rPr>
          <w:b/>
          <w:color w:val="123054"/>
        </w:rPr>
        <w:t>Hedef alıcı profili: ☐ Oturum   ☑ Yatırımcı   ☑ Perakende / işletme   ☐ Sanayi / lojistik   ☐ Diğer</w:t>
      </w:r>
      <w:r/>
    </w:p>
    <w:p>
      <w:pPr>
        <w:pStyle w:val="Heading1"/>
      </w:pPr>
      <w:r>
        <w:t>02  |  Taşınmazın Teknik Özellikleri</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Tapu niteliği</w:t>
            </w:r>
          </w:p>
        </w:tc>
        <w:tc>
          <w:tcPr>
            <w:tcW w:type="dxa" w:w="6264"/>
          </w:tcPr>
          <w:p>
            <w:pPr>
              <w:spacing w:after="40"/>
            </w:pPr>
            <w:r>
              <w:t>Kat mülkiyetli bağımsız bölüm – dükkân</w:t>
            </w:r>
          </w:p>
        </w:tc>
      </w:tr>
      <w:tr>
        <w:tc>
          <w:tcPr>
            <w:tcW w:type="dxa" w:w="3427"/>
            <w:vAlign w:val="center"/>
          </w:tcPr>
          <w:p>
            <w:pPr>
              <w:spacing w:after="40"/>
            </w:pPr>
            <w:r>
              <w:rPr>
                <w:b/>
                <w:color w:val="123054"/>
              </w:rPr>
              <w:t>Alan ve ölçü bilgileri</w:t>
            </w:r>
          </w:p>
        </w:tc>
        <w:tc>
          <w:tcPr>
            <w:tcW w:type="dxa" w:w="6264"/>
          </w:tcPr>
          <w:p>
            <w:pPr>
              <w:spacing w:after="40"/>
            </w:pPr>
            <w:r>
              <w:t>Alan bilgileri satıcı beyanı, mimari plan ve yerinde gözlem üzerinden temsili olarak işlenmiştir; işlem öncesi resmî belge ile teyit önerilir.</w:t>
            </w:r>
          </w:p>
        </w:tc>
      </w:tr>
      <w:tr>
        <w:tc>
          <w:tcPr>
            <w:tcW w:type="dxa" w:w="3427"/>
            <w:vAlign w:val="center"/>
          </w:tcPr>
          <w:p>
            <w:pPr>
              <w:spacing w:after="40"/>
            </w:pPr>
            <w:r>
              <w:rPr>
                <w:b/>
                <w:color w:val="123054"/>
              </w:rPr>
              <w:t>Yapı yılı / fiziksel durum</w:t>
            </w:r>
          </w:p>
        </w:tc>
        <w:tc>
          <w:tcPr>
            <w:tcW w:type="dxa" w:w="6264"/>
          </w:tcPr>
          <w:p>
            <w:pPr>
              <w:spacing w:after="40"/>
            </w:pPr>
            <w:r>
              <w:t>Yaklaşık 2018 yapımı; bakımlı ve aktif kullanıma alınabilecek fiziksel durumda.</w:t>
            </w:r>
          </w:p>
        </w:tc>
      </w:tr>
      <w:tr>
        <w:tc>
          <w:tcPr>
            <w:tcW w:type="dxa" w:w="3427"/>
            <w:vAlign w:val="center"/>
          </w:tcPr>
          <w:p>
            <w:pPr>
              <w:spacing w:after="40"/>
            </w:pPr>
            <w:r>
              <w:rPr>
                <w:b/>
                <w:color w:val="123054"/>
              </w:rPr>
              <w:t>Bölümler / kullanım alanları</w:t>
            </w:r>
          </w:p>
        </w:tc>
        <w:tc>
          <w:tcPr>
            <w:tcW w:type="dxa" w:w="6264"/>
          </w:tcPr>
          <w:p>
            <w:pPr>
              <w:spacing w:after="40"/>
            </w:pPr>
            <w:r>
              <w:t>Ana satış alanı, arka servis/depo bölümü, wc hacmi ve vitrin cephesi bulunan ticari kurgu.</w:t>
            </w:r>
          </w:p>
        </w:tc>
      </w:tr>
      <w:tr>
        <w:tc>
          <w:tcPr>
            <w:tcW w:type="dxa" w:w="3427"/>
            <w:vAlign w:val="center"/>
          </w:tcPr>
          <w:p>
            <w:pPr>
              <w:spacing w:after="40"/>
            </w:pPr>
            <w:r>
              <w:rPr>
                <w:b/>
                <w:color w:val="123054"/>
              </w:rPr>
              <w:t>Ulaşım / cephe / erişim</w:t>
            </w:r>
          </w:p>
        </w:tc>
        <w:tc>
          <w:tcPr>
            <w:tcW w:type="dxa" w:w="6264"/>
          </w:tcPr>
          <w:p>
            <w:pPr>
              <w:spacing w:after="40"/>
            </w:pPr>
            <w:r>
              <w:t>Cadde görünürlüğü güçlü; yaya sirkülasyonu yüksek; özel araç ve yakın çevre otopark kullanımı bakımından elverişli.</w:t>
            </w:r>
          </w:p>
        </w:tc>
      </w:tr>
      <w:tr>
        <w:tc>
          <w:tcPr>
            <w:tcW w:type="dxa" w:w="3427"/>
            <w:vAlign w:val="center"/>
          </w:tcPr>
          <w:p>
            <w:pPr>
              <w:spacing w:after="40"/>
            </w:pPr>
            <w:r>
              <w:rPr>
                <w:b/>
                <w:color w:val="123054"/>
              </w:rPr>
              <w:t>Altyapı / otopark / donanım</w:t>
            </w:r>
          </w:p>
        </w:tc>
        <w:tc>
          <w:tcPr>
            <w:tcW w:type="dxa" w:w="6264"/>
          </w:tcPr>
          <w:p>
            <w:pPr>
              <w:spacing w:after="40"/>
            </w:pPr>
            <w:r>
              <w:t>Elektrik, su, internet ve temel ticari altyapı imkânı mevcut olduğu varsayılmıştır; klima/soğutma ve işletmeye özel donanım konsept bazlı planlanmalıdır.</w:t>
            </w:r>
          </w:p>
        </w:tc>
      </w:tr>
    </w:tbl>
    <w:p>
      <w:pPr>
        <w:pStyle w:val="Heading1"/>
      </w:pPr>
      <w:r>
        <w:t>03  |  Hukuki ve İdari Durum Özeti</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Mülkiyet / pay</w:t>
            </w:r>
          </w:p>
        </w:tc>
        <w:tc>
          <w:tcPr>
            <w:tcW w:type="dxa" w:w="6264"/>
          </w:tcPr>
          <w:p>
            <w:pPr>
              <w:spacing w:after="40"/>
            </w:pPr>
            <w:r>
              <w:t>Tam mülkiyetli bağımsız bölüm olarak değerlendirilmiştir. Resmî kayıt incelemesi işlem öncesi güncellenmelidir.</w:t>
            </w:r>
          </w:p>
        </w:tc>
      </w:tr>
      <w:tr>
        <w:tc>
          <w:tcPr>
            <w:tcW w:type="dxa" w:w="3427"/>
            <w:vAlign w:val="center"/>
          </w:tcPr>
          <w:p>
            <w:pPr>
              <w:spacing w:after="40"/>
            </w:pPr>
            <w:r>
              <w:rPr>
                <w:b/>
                <w:color w:val="123054"/>
              </w:rPr>
              <w:t>Şerh / beyan / takyidat</w:t>
            </w:r>
          </w:p>
        </w:tc>
        <w:tc>
          <w:tcPr>
            <w:tcW w:type="dxa" w:w="6264"/>
          </w:tcPr>
          <w:p>
            <w:pPr>
              <w:spacing w:after="40"/>
            </w:pPr>
            <w:r>
              <w:t>Temsili örnek çalışma kapsamında satışa engel olduğu beyan edilen bir takyidat bulunmadığı varsayılmıştır. Güncel tapu ve takyidat kontrolü önerilir.</w:t>
            </w:r>
          </w:p>
        </w:tc>
      </w:tr>
      <w:tr>
        <w:tc>
          <w:tcPr>
            <w:tcW w:type="dxa" w:w="3427"/>
            <w:vAlign w:val="center"/>
          </w:tcPr>
          <w:p>
            <w:pPr>
              <w:spacing w:after="40"/>
            </w:pPr>
            <w:r>
              <w:rPr>
                <w:b/>
                <w:color w:val="123054"/>
              </w:rPr>
              <w:t>İmar / kullanım kararı</w:t>
            </w:r>
          </w:p>
        </w:tc>
        <w:tc>
          <w:tcPr>
            <w:tcW w:type="dxa" w:w="6264"/>
          </w:tcPr>
          <w:p>
            <w:pPr>
              <w:spacing w:after="40"/>
            </w:pPr>
            <w:r>
              <w:t>Ticari kullanım potansiyeli bulunan bölgede yer aldığı varsayılmıştır. Belediye nezdinde güncel imar ve kullanım koşulları ayrıca teyit edilmelidir.</w:t>
            </w:r>
          </w:p>
        </w:tc>
      </w:tr>
      <w:tr>
        <w:tc>
          <w:tcPr>
            <w:tcW w:type="dxa" w:w="3427"/>
            <w:vAlign w:val="center"/>
          </w:tcPr>
          <w:p>
            <w:pPr>
              <w:spacing w:after="40"/>
            </w:pPr>
            <w:r>
              <w:rPr>
                <w:b/>
                <w:color w:val="123054"/>
              </w:rPr>
              <w:t>Ruhsat / iskân durumu</w:t>
            </w:r>
          </w:p>
        </w:tc>
        <w:tc>
          <w:tcPr>
            <w:tcW w:type="dxa" w:w="6264"/>
          </w:tcPr>
          <w:p>
            <w:pPr>
              <w:spacing w:after="40"/>
            </w:pPr>
            <w:r>
              <w:t>Yapı ruhsatı ve yapı kullanma izni bulunduğu varsayımsal senaryoda değerlendirilmiştir; belge kontrolü gereklidir.</w:t>
            </w:r>
          </w:p>
        </w:tc>
      </w:tr>
      <w:tr>
        <w:tc>
          <w:tcPr>
            <w:tcW w:type="dxa" w:w="3427"/>
            <w:vAlign w:val="center"/>
          </w:tcPr>
          <w:p>
            <w:pPr>
              <w:spacing w:after="40"/>
            </w:pPr>
            <w:r>
              <w:rPr>
                <w:b/>
                <w:color w:val="123054"/>
              </w:rPr>
              <w:t>Bilinen özel sınırlamalar</w:t>
            </w:r>
          </w:p>
        </w:tc>
        <w:tc>
          <w:tcPr>
            <w:tcW w:type="dxa" w:w="6264"/>
          </w:tcPr>
          <w:p>
            <w:pPr>
              <w:spacing w:after="40"/>
            </w:pPr>
            <w:r>
              <w:t>Gıda, yeme-içme veya özel faaliyet gerektiren kullanımlarda ilave ruhsat, altyapı ve baca koşulları incelenmelidir.</w:t>
            </w:r>
          </w:p>
        </w:tc>
      </w:tr>
    </w:tbl>
    <w:p>
      <w:r>
        <w:t>Not: Tapu, kimlik, sözleşme ve benzeri kişisel/hassas belgelerin tam nüshaları bu genel dosyaya otomatik eklenmez. Gerekli inceleme, uygun yetki ve veri koruma koşulları sağlanarak ayrıca yapılır.</w:t>
      </w:r>
    </w:p>
    <w:p>
      <w:pPr>
        <w:pStyle w:val="Heading1"/>
      </w:pPr>
      <w:r>
        <w:t>04  |  Kullanım Senaryoları ve Potansiyel</w:t>
      </w:r>
    </w:p>
    <w:p>
      <w:r>
        <w:t>Gayrimenkulün mevcut fiziksel yapısı, konumu ve cephe etkisi dikkate alındığında; butik mağaza, konsept showroom, premium yiyecek-içecek noktası veya uzun vadeli kira getirisi hedefleyen yatırım modeli için değerlendirilebileceği düşünülmektedir. Nihai kullanım uygunluğu; belediye uygulamaları, ruhsat koşulları, baca/altyapı gereklilikleri ve ilgili idari izinler yönünden ayrıca teyit edilmelidir.</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Senaryo A</w:t>
            </w:r>
          </w:p>
        </w:tc>
        <w:tc>
          <w:tcPr>
            <w:tcW w:type="dxa" w:w="6264"/>
          </w:tcPr>
          <w:p>
            <w:pPr>
              <w:spacing w:after="40"/>
            </w:pPr>
            <w:r>
              <w:t>Senaryo A: Markalı perakende / butik mağaza — Bölgenin yaya trafiği ve vitrin etkisi sayesinde yüksek görünürlük sağlayabilir. Marka kimliği güçlü kullanıcılar için uygundur.</w:t>
            </w:r>
          </w:p>
        </w:tc>
      </w:tr>
      <w:tr>
        <w:tc>
          <w:tcPr>
            <w:tcW w:type="dxa" w:w="3427"/>
            <w:vAlign w:val="center"/>
          </w:tcPr>
          <w:p>
            <w:pPr>
              <w:spacing w:after="40"/>
            </w:pPr>
            <w:r>
              <w:rPr>
                <w:b/>
                <w:color w:val="123054"/>
              </w:rPr>
              <w:t>Senaryo B</w:t>
            </w:r>
          </w:p>
        </w:tc>
        <w:tc>
          <w:tcPr>
            <w:tcW w:type="dxa" w:w="6264"/>
          </w:tcPr>
          <w:p>
            <w:pPr>
              <w:spacing w:after="40"/>
            </w:pPr>
            <w:r>
              <w:t>Senaryo B: Showroom / dekorasyon / yaşam stili mağazası — Alaçatı profili ile uyumlu konsept satış alanı olarak değerlendirilebilir. İç mimari kurgu ve teşhir düzeni önem taşır.</w:t>
            </w:r>
          </w:p>
        </w:tc>
      </w:tr>
      <w:tr>
        <w:tc>
          <w:tcPr>
            <w:tcW w:type="dxa" w:w="3427"/>
            <w:vAlign w:val="center"/>
          </w:tcPr>
          <w:p>
            <w:pPr>
              <w:spacing w:after="40"/>
            </w:pPr>
            <w:r>
              <w:rPr>
                <w:b/>
                <w:color w:val="123054"/>
              </w:rPr>
              <w:t>Senaryo C</w:t>
            </w:r>
          </w:p>
        </w:tc>
        <w:tc>
          <w:tcPr>
            <w:tcW w:type="dxa" w:w="6264"/>
          </w:tcPr>
          <w:p>
            <w:pPr>
              <w:spacing w:after="40"/>
            </w:pPr>
            <w:r>
              <w:t>Senaryo C: Yatırım amaçlı edinim ve kiralama — Bölgedeki sezon etkisi ve ticari cazibe dikkate alınarak kurumsal kiracı veya seçilmiş marka hedeflenebilir.</w:t>
            </w:r>
          </w:p>
        </w:tc>
      </w:tr>
    </w:tbl>
    <w:p>
      <w:pPr>
        <w:pStyle w:val="Heading1"/>
      </w:pPr>
      <w:r>
        <w:t>05  |  Değer ve Ticari Değerlendirme</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İstenen satış / kira bedeli</w:t>
            </w:r>
          </w:p>
        </w:tc>
        <w:tc>
          <w:tcPr>
            <w:tcW w:type="dxa" w:w="6264"/>
          </w:tcPr>
          <w:p>
            <w:pPr>
              <w:spacing w:after="40"/>
            </w:pPr>
            <w:r>
              <w:t>35.000.000 TL  •  21.10.2026</w:t>
            </w:r>
          </w:p>
        </w:tc>
      </w:tr>
      <w:tr>
        <w:tc>
          <w:tcPr>
            <w:tcW w:type="dxa" w:w="3427"/>
            <w:vAlign w:val="center"/>
          </w:tcPr>
          <w:p>
            <w:pPr>
              <w:spacing w:after="40"/>
            </w:pPr>
            <w:r>
              <w:rPr>
                <w:b/>
                <w:color w:val="123054"/>
              </w:rPr>
              <w:t>Değerleme raporu</w:t>
            </w:r>
          </w:p>
        </w:tc>
        <w:tc>
          <w:tcPr>
            <w:tcW w:type="dxa" w:w="6264"/>
          </w:tcPr>
          <w:p>
            <w:pPr>
              <w:spacing w:after="40"/>
            </w:pPr>
            <w:r>
              <w:t>Temsili örnek çalışma: bağımsız uzman değerleme yaklaşımı esas alınarak varsayımsal pazar aralığı 34.000.000 TL – 36.500.000 TL bandında değerlendirilmiştir.</w:t>
            </w:r>
          </w:p>
        </w:tc>
      </w:tr>
      <w:tr>
        <w:tc>
          <w:tcPr>
            <w:tcW w:type="dxa" w:w="3427"/>
            <w:vAlign w:val="center"/>
          </w:tcPr>
          <w:p>
            <w:pPr>
              <w:spacing w:after="40"/>
            </w:pPr>
            <w:r>
              <w:rPr>
                <w:b/>
                <w:color w:val="123054"/>
              </w:rPr>
              <w:t>Emsal / pazar özeti</w:t>
            </w:r>
          </w:p>
        </w:tc>
        <w:tc>
          <w:tcPr>
            <w:tcW w:type="dxa" w:w="6264"/>
          </w:tcPr>
          <w:p>
            <w:pPr>
              <w:spacing w:after="40"/>
            </w:pPr>
            <w:r>
              <w:t>Çeşme / Alaçatı çevresinde görünür cadde üzeri ticari bağımsız bölümlerde; cephe, alan, sezon etkisi ve kullanım niteliğine göre m² değerlerinin farklılaştığı bir pazar yapısı gözlenmektedir. (Temsili veri özeti)</w:t>
            </w:r>
          </w:p>
        </w:tc>
      </w:tr>
      <w:tr>
        <w:tc>
          <w:tcPr>
            <w:tcW w:type="dxa" w:w="3427"/>
            <w:vAlign w:val="center"/>
          </w:tcPr>
          <w:p>
            <w:pPr>
              <w:spacing w:after="40"/>
            </w:pPr>
            <w:r>
              <w:rPr>
                <w:b/>
                <w:color w:val="123054"/>
              </w:rPr>
              <w:t>Kira / gelir potansiyeli</w:t>
            </w:r>
          </w:p>
        </w:tc>
        <w:tc>
          <w:tcPr>
            <w:tcW w:type="dxa" w:w="6264"/>
          </w:tcPr>
          <w:p>
            <w:pPr>
              <w:spacing w:after="40"/>
            </w:pPr>
            <w:r>
              <w:t>Benzer segmentte aylık kira beklentisi, konsept ve cephe gücüne bağlı olarak yaklaşık 130.000 TL – 170.000 TL bandında kurgulanabilir. Nihai kira seviyesi bağımsız pazarlık ve piyasa koşullarına bağlıdır.</w:t>
            </w:r>
          </w:p>
        </w:tc>
      </w:tr>
      <w:tr>
        <w:tc>
          <w:tcPr>
            <w:tcW w:type="dxa" w:w="3427"/>
            <w:vAlign w:val="center"/>
          </w:tcPr>
          <w:p>
            <w:pPr>
              <w:spacing w:after="40"/>
            </w:pPr>
            <w:r>
              <w:rPr>
                <w:b/>
                <w:color w:val="123054"/>
              </w:rPr>
              <w:t>Gider / yatırım ihtiyacı</w:t>
            </w:r>
          </w:p>
        </w:tc>
        <w:tc>
          <w:tcPr>
            <w:tcW w:type="dxa" w:w="6264"/>
          </w:tcPr>
          <w:p>
            <w:pPr>
              <w:spacing w:after="40"/>
            </w:pPr>
            <w:r>
              <w:t>Marka konseptine göre tabela, iç mimari, dekorasyon ve faaliyet ruhsatına bağlı yatırım giderleri oluşabilir. Bu giderler alıcı kullanım senaryosuna göre ayrıca çalışılmalıdır.</w:t>
            </w:r>
          </w:p>
        </w:tc>
      </w:tr>
    </w:tbl>
    <w:p>
      <w:r>
        <w:t>NOT: Bu çalışma temsili örnek niteliğindedir. Aşağıdaki ticari değerlendirmeler sunum amaçlı hazırlanmış olup nihai yatırım kararı öncesinde bağımsız hukuki, teknik ve mali inceleme yapılmalıdır.</w:t>
      </w:r>
    </w:p>
    <w:p>
      <w:pPr>
        <w:pStyle w:val="Heading1"/>
      </w:pPr>
      <w:r>
        <w:t>06  |  Teknik Belgeler ve Doğrulama Durumu</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Belge / rapor</w:t>
            </w:r>
          </w:p>
        </w:tc>
        <w:tc>
          <w:tcPr>
            <w:tcW w:type="dxa" w:w="6264"/>
          </w:tcPr>
          <w:p>
            <w:pPr>
              <w:spacing w:after="40"/>
            </w:pPr>
            <w:r>
              <w:t>Örnek dosya / temel tanıtım verileri  •  Durum: mevcut (temsili)</w:t>
            </w:r>
          </w:p>
        </w:tc>
      </w:tr>
      <w:tr>
        <w:tc>
          <w:tcPr>
            <w:tcW w:type="dxa" w:w="3427"/>
            <w:vAlign w:val="center"/>
          </w:tcPr>
          <w:p>
            <w:pPr>
              <w:spacing w:after="40"/>
            </w:pPr>
            <w:r>
              <w:rPr>
                <w:b/>
                <w:color w:val="123054"/>
              </w:rPr>
              <w:t>Mimari planlar</w:t>
            </w:r>
          </w:p>
        </w:tc>
        <w:tc>
          <w:tcPr>
            <w:tcW w:type="dxa" w:w="6264"/>
          </w:tcPr>
          <w:p>
            <w:pPr>
              <w:spacing w:after="40"/>
            </w:pPr>
            <w:r>
              <w:t>Mimari planlar  •  Kaynak: satıcıdan temin edilecek / erişim durumu: doğrulama bekleniyor</w:t>
            </w:r>
          </w:p>
        </w:tc>
      </w:tr>
      <w:tr>
        <w:tc>
          <w:tcPr>
            <w:tcW w:type="dxa" w:w="3427"/>
            <w:vAlign w:val="center"/>
          </w:tcPr>
          <w:p>
            <w:pPr>
              <w:spacing w:after="40"/>
            </w:pPr>
            <w:r>
              <w:rPr>
                <w:b/>
                <w:color w:val="123054"/>
              </w:rPr>
              <w:t>Statik / performans raporu</w:t>
            </w:r>
          </w:p>
        </w:tc>
        <w:tc>
          <w:tcPr>
            <w:tcW w:type="dxa" w:w="6264"/>
          </w:tcPr>
          <w:p>
            <w:pPr>
              <w:spacing w:after="40"/>
            </w:pPr>
            <w:r>
              <w:t>Statik / performans raporu  •  Gerekmesi hâlinde yetkili uzman incelemesi önerilir; bu örnekte belge eklenmemiştir.</w:t>
            </w:r>
          </w:p>
        </w:tc>
      </w:tr>
      <w:tr>
        <w:tc>
          <w:tcPr>
            <w:tcW w:type="dxa" w:w="3427"/>
            <w:vAlign w:val="center"/>
          </w:tcPr>
          <w:p>
            <w:pPr>
              <w:spacing w:after="40"/>
            </w:pPr>
            <w:r>
              <w:rPr>
                <w:b/>
                <w:color w:val="123054"/>
              </w:rPr>
              <w:t>İmar / ruhsat görüşü</w:t>
            </w:r>
          </w:p>
        </w:tc>
        <w:tc>
          <w:tcPr>
            <w:tcW w:type="dxa" w:w="6264"/>
          </w:tcPr>
          <w:p>
            <w:pPr>
              <w:spacing w:after="40"/>
            </w:pPr>
            <w:r>
              <w:t>İmar / ruhsat görüşü  •  İlgili belediye ve uzman danışman doğrulaması önerilir.</w:t>
            </w:r>
          </w:p>
        </w:tc>
      </w:tr>
      <w:tr>
        <w:tc>
          <w:tcPr>
            <w:tcW w:type="dxa" w:w="3427"/>
            <w:vAlign w:val="center"/>
          </w:tcPr>
          <w:p>
            <w:pPr>
              <w:spacing w:after="40"/>
            </w:pPr>
            <w:r>
              <w:rPr>
                <w:b/>
                <w:color w:val="123054"/>
              </w:rPr>
              <w:t>Fotoğraf / plan / kroki</w:t>
            </w:r>
          </w:p>
        </w:tc>
        <w:tc>
          <w:tcPr>
            <w:tcW w:type="dxa" w:w="6264"/>
          </w:tcPr>
          <w:p>
            <w:pPr>
              <w:spacing w:after="40"/>
            </w:pPr>
            <w:r>
              <w:t>Cephe görünümü, iç mekân, yakın çevre, kroki ve plan görselleri  •  yer gösterimi sonrasında paylaşılabilir.</w:t>
            </w:r>
          </w:p>
        </w:tc>
      </w:tr>
    </w:tbl>
    <w:p>
      <w:pPr>
        <w:pStyle w:val="Heading1"/>
      </w:pPr>
      <w:r>
        <w:t>07  |  Potansiyel Alıcı İçin Karar Özeti</w:t>
      </w:r>
    </w:p>
    <w:p>
      <w:r>
        <w:t>GÜÇLÜ YÖNLER  |  Alaçatı lokasyonu • Güçlü vitrin etkisi • Esnek kullanım senaryoları • Marka konumlandırmasına uygun görünürlük</w:t>
      </w:r>
    </w:p>
    <w:p>
      <w:r>
        <w:t>DİKKAT / İLAVE İNCELEME  |  Güncel takyidat kontrolü • Ruhsat ve kullanım koşullarının teyidi • Olası iç mimari / konsept yatırımı</w:t>
      </w:r>
    </w:p>
    <w:p>
      <w:r>
        <w:t>UYGUN ALICI PROFİLİ  |  Prestijli lokasyonda mağaza veya showroom arayan işletmeler; sezon ve marka değeri odaklı yatırımcılar</w:t>
      </w:r>
    </w:p>
    <w:p>
      <w:pPr>
        <w:pStyle w:val="Heading1"/>
      </w:pPr>
      <w:r>
        <w:t>08  |  Görseller, Ekler ve İletişim</w:t>
      </w:r>
    </w:p>
    <w:p>
      <w:r>
        <w:t>GÖRSEL GALERİSİ: Cephe fotoğrafları • iç mekân fotoğrafları • plan görseli • konum krokisi • yakın çevre ve yaya akışı görselleri</w:t>
      </w:r>
    </w:p>
    <w:p>
      <w:r>
        <w:t>PAYLAŞIMA AÇIK EKLER: Tanıtım broşürü • özet plan • onaylı ise bağımsız bölüm krokisi • ek bilgi notları</w:t>
      </w:r>
    </w:p>
    <w:tbl>
      <w:tblPr>
        <w:tblStyle w:val="TableGrid"/>
        <w:tblW w:type="auto" w:w="0"/>
        <w:tblLayout w:type="fixed"/>
        <w:tblLook w:firstColumn="1" w:firstRow="1" w:lastColumn="0" w:lastRow="0" w:noHBand="0" w:noVBand="1" w:val="04A0"/>
      </w:tblPr>
      <w:tblGrid>
        <w:gridCol w:w="3427"/>
        <w:gridCol w:w="6264"/>
      </w:tblGrid>
      <w:tr>
        <w:tc>
          <w:tcPr>
            <w:tcW w:type="dxa" w:w="3427"/>
            <w:vAlign w:val="center"/>
          </w:tcPr>
          <w:p>
            <w:pPr>
              <w:spacing w:after="40"/>
            </w:pPr>
            <w:r>
              <w:rPr>
                <w:b/>
                <w:color w:val="123054"/>
              </w:rPr>
              <w:t>Yetkili danışman</w:t>
            </w:r>
          </w:p>
        </w:tc>
        <w:tc>
          <w:tcPr>
            <w:tcW w:type="dxa" w:w="6264"/>
          </w:tcPr>
          <w:p>
            <w:pPr>
              <w:spacing w:after="40"/>
            </w:pPr>
            <w:r>
              <w:t>INB Real Estate Portföy Danışmanı</w:t>
            </w:r>
          </w:p>
        </w:tc>
      </w:tr>
      <w:tr>
        <w:tc>
          <w:tcPr>
            <w:tcW w:type="dxa" w:w="3427"/>
            <w:vAlign w:val="center"/>
          </w:tcPr>
          <w:p>
            <w:pPr>
              <w:spacing w:after="40"/>
            </w:pPr>
            <w:r>
              <w:rPr>
                <w:b/>
                <w:color w:val="123054"/>
              </w:rPr>
              <w:t>Telefon / WhatsApp</w:t>
            </w:r>
          </w:p>
        </w:tc>
        <w:tc>
          <w:tcPr>
            <w:tcW w:type="dxa" w:w="6264"/>
          </w:tcPr>
          <w:p>
            <w:pPr>
              <w:spacing w:after="40"/>
            </w:pPr>
            <w:r>
              <w:t>[Telefon / WhatsApp bilgisi eklenecek]</w:t>
            </w:r>
          </w:p>
        </w:tc>
      </w:tr>
      <w:tr>
        <w:tc>
          <w:tcPr>
            <w:tcW w:type="dxa" w:w="3427"/>
            <w:vAlign w:val="center"/>
          </w:tcPr>
          <w:p>
            <w:pPr>
              <w:spacing w:after="40"/>
            </w:pPr>
            <w:r>
              <w:rPr>
                <w:b/>
                <w:color w:val="123054"/>
              </w:rPr>
              <w:t>E-posta</w:t>
            </w:r>
          </w:p>
        </w:tc>
        <w:tc>
          <w:tcPr>
            <w:tcW w:type="dxa" w:w="6264"/>
          </w:tcPr>
          <w:p>
            <w:pPr>
              <w:spacing w:after="40"/>
            </w:pPr>
            <w:r>
              <w:t>[E-posta bilgisi eklenecek]</w:t>
            </w:r>
          </w:p>
        </w:tc>
      </w:tr>
      <w:tr>
        <w:tc>
          <w:tcPr>
            <w:tcW w:type="dxa" w:w="3427"/>
            <w:vAlign w:val="center"/>
          </w:tcPr>
          <w:p>
            <w:pPr>
              <w:spacing w:after="40"/>
            </w:pPr>
            <w:r>
              <w:rPr>
                <w:b/>
                <w:color w:val="123054"/>
              </w:rPr>
              <w:t>İnceleme / yer gösterimi</w:t>
            </w:r>
          </w:p>
        </w:tc>
        <w:tc>
          <w:tcPr>
            <w:tcW w:type="dxa" w:w="6264"/>
          </w:tcPr>
          <w:p>
            <w:pPr>
              <w:spacing w:after="40"/>
            </w:pPr>
            <w:r>
              <w:t>Randevu ve yer gösterimi talepleri INB Real Estate üzerinden planlanır.</w:t>
            </w:r>
          </w:p>
        </w:tc>
      </w:tr>
    </w:tbl>
    <w:p>
      <w:pPr>
        <w:pStyle w:val="Heading1"/>
      </w:pPr>
      <w:r>
        <w:t>Bilgi Kaynağı ve Sorumluluk Notu</w:t>
      </w:r>
    </w:p>
    <w:p>
      <w:r>
        <w:t>Bu dosya bilgilendirme ve tanıtım amacıyla hazırlanmıştır. Bilgiler satıcı beyanı, belgeler ve yetkili uzman incelemelerine dayanabilir; her önemli tespitin kaynağı ayrıca belirtilmelidir. Güncellik, ruhsat alınabilirliği, teknik yeterlilik, gelir, piyasa fiyatı ve işlem sonucu garanti edilmez. Alıcının işlem öncesi bağımsız hukuki, teknik ve mali inceleme yapması tavsiye edilir. Gizli veya kişisel veriler uygun şartlar sağlanmadan paylaşılmaz.</w:t>
      </w:r>
    </w:p>
    <w:p>
      <w:r>
        <w:t>HAZIRLAYAN KONTROLÜ  |  ☑ Satıcı bilgileri kontrol edildi  ☑ Resmî kayıtlar gözden geçirildi  ☑ Belge paylaşım izinleri kontrol edildi  ☑ Fiyat ve tarih güncel</w:t>
      </w:r>
    </w:p>
    <w:sectPr w:rsidR="00FC693F" w:rsidRPr="0006063C" w:rsidSect="00034616">
      <w:headerReference w:type="default" r:id="rId9"/>
      <w:footerReference w:type="default" r:id="rId10"/>
      <w:pgSz w:w="12240" w:h="15840"/>
      <w:pgMar w:top="1080"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7"/>
        <w:sz w:val="16"/>
      </w:rPr>
      <w:t>INB REAL ESTATE  •  Satış, ilandan önce başlar.  |  ALICI SUNUM ŞABLONU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123054"/>
        <w:sz w:val="22"/>
      </w:rPr>
      <w:t>INB  |  REAL ESTATE</w:t>
    </w:r>
    <w:r>
      <w:rPr>
        <w:color w:val="AE873E"/>
      </w:rPr>
      <w:t xml:space="preserve">   •   ALICI SUNUM ŞABLONU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D374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23054"/>
      <w:sz w:val="2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123054"/>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20"/>
      <w:contextualSpacing/>
    </w:pPr>
    <w:rPr>
      <w:rFonts w:asciiTheme="majorHAnsi" w:eastAsiaTheme="majorEastAsia" w:hAnsiTheme="majorHAnsi" w:cstheme="majorBidi" w:ascii="Aptos Display" w:hAnsi="Aptos Display"/>
      <w:b/>
      <w:color w:val="123054"/>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